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default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/>
          <w:color w:val="000000"/>
          <w:sz w:val="28"/>
          <w:szCs w:val="28"/>
          <w:lang w:val="en-US" w:eastAsia="zh-CN"/>
        </w:rPr>
        <w:t>调查令申请书（调车辆购买信息）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jc w:val="center"/>
        <w:textAlignment w:val="auto"/>
        <w:rPr>
          <w:rFonts w:hint="eastAsia" w:ascii="Times New Roman" w:hAnsi="Times New Roman" w:eastAsia="宋体" w:cs="Times New Roman"/>
          <w:b/>
          <w:color w:val="000000"/>
          <w:sz w:val="36"/>
          <w:szCs w:val="36"/>
        </w:rPr>
      </w:pPr>
      <w:r>
        <w:rPr>
          <w:rFonts w:hint="eastAsia" w:cs="Times New Roman"/>
          <w:b/>
          <w:color w:val="000000"/>
          <w:sz w:val="36"/>
          <w:szCs w:val="36"/>
          <w:lang w:val="en-US" w:eastAsia="zh-CN"/>
        </w:rPr>
        <w:t>调查令申请书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ind w:firstLine="555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申请人：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王××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执业机构：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××××律师事务所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地址：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职务：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专职律师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执业证号：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××××，××××。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jc w:val="center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请求事项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依法向申请人颁发《调查令》，自北京××有限公司调取王某以刘某名义购买宝马汽车(车架号：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××××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,发动机号：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××××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)的付款人信息、购车合同、刷卡签字、贷款合同。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jc w:val="center"/>
        <w:textAlignment w:val="auto"/>
        <w:rPr>
          <w:rFonts w:hint="default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事实与理由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张某与王某离婚纠纷一案，已由贵院受理，申请人系张某的代理人。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在本案第一次开庭时，王某声称宝马汽车(车架号：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××××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,发动机号：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××××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)系租赁刘某的车辆，现为查明付款人信息，需要贵院向申请人出具《调查令》予以调取。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现申请人及代理人基于职权所限，无法调取请求事项所列证据，特依据《中华人民共和国民事诉讼法》的相关规定，提出以上申请，请人民法院予以批准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并向申请人颁发《调查令》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北京市朝阳区人民法院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 xml:space="preserve">                                    申请人: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5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律师证复印件；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北京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××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有限公司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公司名称：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北京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××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××××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××××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textAlignment w:val="auto"/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9A2410"/>
    <w:multiLevelType w:val="singleLevel"/>
    <w:tmpl w:val="799A24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27094"/>
    <w:rsid w:val="44DF1AEC"/>
    <w:rsid w:val="6CED548C"/>
    <w:rsid w:val="732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2021-04-16T04:39:00Z</dcterms:created>
  <dc:creator>86156</dc:creator>
  <cp:lastModifiedBy>王丹丹</cp:lastModifiedBy>
  <dcterms:modified xsi:type="dcterms:W3CDTF">2021-05-17T08:11:34Z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4FEA648316A54D9C8047585F120B005D</vt:lpwstr>
  </property>
</Properties>
</file>