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民事答辩状（同意离婚）</w:t>
      </w: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814" w:firstLineChars="637"/>
        <w:jc w:val="both"/>
        <w:textAlignment w:val="auto"/>
        <w:outlineLvl w:val="9"/>
        <w:rPr>
          <w:rFonts w:hint="eastAsia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6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814" w:firstLineChars="637"/>
        <w:jc w:val="both"/>
        <w:textAlignment w:val="auto"/>
        <w:outlineLvl w:val="9"/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color w:val="000000"/>
          <w:sz w:val="44"/>
          <w:szCs w:val="44"/>
        </w:rPr>
        <w:t>民事答辩状</w:t>
      </w:r>
      <w:r>
        <w:rPr>
          <w:b/>
          <w:color w:val="000000"/>
          <w:sz w:val="44"/>
          <w:szCs w:val="4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b/>
          <w:sz w:val="28"/>
          <w:szCs w:val="28"/>
        </w:rPr>
        <w:t>答辩人：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董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某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，男，×年×月×日出生，汉族，系北京市××有限公司职员，住北京市朝阳区××街××小区××楼××单元××室。联系电话：××××，××××。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b/>
          <w:sz w:val="28"/>
          <w:szCs w:val="28"/>
        </w:rPr>
        <w:t>被答辩人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王某，女，×年×月×日出生，汉族，系北京市××有限公司职员，住北京市朝阳区××街××小区××楼××单元××室。联系电话：××××，××××。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答辩人因离婚纠纷一案，针对被答辩人提出的诉讼请求和事实与理由，根据本案的相关事实和法律法规，特提出如下答辩意见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一、答辩人与被答辩人感情确已破裂，</w:t>
      </w:r>
      <w:r>
        <w:rPr>
          <w:rFonts w:hint="eastAsia"/>
          <w:b/>
          <w:color w:val="000000"/>
          <w:sz w:val="28"/>
          <w:szCs w:val="28"/>
        </w:rPr>
        <w:t>再维持没有感情的婚姻</w:t>
      </w:r>
      <w:r>
        <w:rPr>
          <w:rFonts w:hint="eastAsia"/>
          <w:b/>
          <w:color w:val="000000"/>
          <w:sz w:val="28"/>
          <w:szCs w:val="28"/>
          <w:lang w:eastAsia="zh-CN"/>
        </w:rPr>
        <w:t>，</w:t>
      </w:r>
      <w:r>
        <w:rPr>
          <w:rFonts w:hint="eastAsia"/>
          <w:b/>
          <w:color w:val="000000"/>
          <w:sz w:val="28"/>
          <w:szCs w:val="28"/>
        </w:rPr>
        <w:t>对于双方来说都是一种痛苦</w:t>
      </w:r>
      <w:r>
        <w:rPr>
          <w:rFonts w:hint="eastAsia" w:ascii="宋体" w:hAnsi="宋体" w:cs="宋体"/>
          <w:b/>
          <w:sz w:val="28"/>
          <w:szCs w:val="28"/>
        </w:rPr>
        <w:t>，答辩人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经过慎重考虑，</w:t>
      </w:r>
      <w:r>
        <w:rPr>
          <w:rFonts w:hint="eastAsia" w:ascii="宋体" w:hAnsi="宋体" w:cs="宋体"/>
          <w:b/>
          <w:sz w:val="28"/>
          <w:szCs w:val="28"/>
        </w:rPr>
        <w:t>同意解除与被答辩人之间的婚姻关系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70" w:firstLineChars="0"/>
        <w:jc w:val="both"/>
        <w:textAlignment w:val="auto"/>
        <w:outlineLvl w:val="9"/>
        <w:rPr>
          <w:rFonts w:hint="eastAsia" w:ascii="宋体" w:cs="宋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eastAsia="zh-CN"/>
        </w:rPr>
        <w:t>答辩人不同意被答辩人在《民事起诉状》中的第二项诉讼请求。</w:t>
      </w:r>
      <w:r>
        <w:rPr>
          <w:rFonts w:hint="eastAsia"/>
          <w:b/>
          <w:color w:val="000000"/>
          <w:sz w:val="28"/>
          <w:szCs w:val="28"/>
        </w:rPr>
        <w:t>婚生子</w:t>
      </w:r>
      <w:r>
        <w:rPr>
          <w:rFonts w:hint="eastAsia"/>
          <w:b/>
          <w:color w:val="000000"/>
          <w:sz w:val="28"/>
          <w:szCs w:val="28"/>
          <w:lang w:eastAsia="zh-CN"/>
        </w:rPr>
        <w:t>董小某</w:t>
      </w:r>
      <w:r>
        <w:rPr>
          <w:rFonts w:hint="eastAsia"/>
          <w:b/>
          <w:color w:val="000000"/>
          <w:sz w:val="28"/>
          <w:szCs w:val="28"/>
        </w:rPr>
        <w:t>的抚养权应依法判归答辩人行使，</w:t>
      </w: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zh-CN"/>
        </w:rPr>
        <w:t>被答辩人每月支付抚养费</w:t>
      </w: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  <w:t>3000元</w:t>
      </w: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zh-CN"/>
        </w:rPr>
        <w:t>，至</w:t>
      </w:r>
      <w:r>
        <w:rPr>
          <w:rFonts w:hint="eastAsia"/>
          <w:b/>
          <w:color w:val="000000"/>
          <w:sz w:val="28"/>
          <w:szCs w:val="28"/>
          <w:lang w:eastAsia="zh-CN"/>
        </w:rPr>
        <w:t>董小某</w:t>
      </w: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zh-CN"/>
        </w:rPr>
        <w:t>年满十八周岁止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70"/>
        <w:jc w:val="both"/>
        <w:textAlignment w:val="auto"/>
        <w:outlineLvl w:val="9"/>
        <w:rPr>
          <w:rFonts w:ascii="??" w:hAnsi="Calibri" w:eastAsia="Times New Roman" w:cs="Times New Roman"/>
          <w:b/>
          <w:color w:val="000000"/>
          <w:sz w:val="28"/>
          <w:szCs w:val="28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2.1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人民法院审理离婚案件，对子女抚养问题，应当依照</w:t>
      </w: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我国《民法典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》及相关司法解释，从有利于子女身心健康，保障子女的合法权益出发，结合父母双方的抚养能力和抚养条件等具体情况妥善解决。在本案中</w:t>
      </w:r>
      <w:r>
        <w:rPr>
          <w:rFonts w:hint="eastAsia" w:ascii="??" w:hAnsi="??" w:eastAsia="宋体" w:cs="Times New Roman"/>
          <w:b/>
          <w:bCs/>
          <w:color w:val="000000"/>
          <w:sz w:val="28"/>
          <w:szCs w:val="28"/>
        </w:rPr>
        <w:t>，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由答辩人抚养，比较有利于孩子的成长和身心健康，理由如下：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ascii="Calibri" w:hAnsi="Calibri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ascii="Calibri" w:hAnsi="Calibri" w:eastAsia="宋体" w:cs="Times New Roman"/>
          <w:color w:val="000000"/>
          <w:sz w:val="28"/>
          <w:szCs w:val="28"/>
        </w:rPr>
        <w:t xml:space="preserve">   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8"/>
          <w:szCs w:val="28"/>
        </w:rPr>
        <w:t>（一）答辩人及其父母能为孩子成长提供比较好的物质保障，孩子的抚养权应依法判归答辩人行使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</w:pPr>
      <w:r>
        <w:rPr>
          <w:rFonts w:ascii="Calibri" w:hAnsi="Calibri" w:eastAsia="宋体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8"/>
          <w:szCs w:val="28"/>
        </w:rPr>
        <w:t>答辩人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有固定的工作和稳定的收入，有充分的时间和能力教育抚养</w:t>
      </w:r>
      <w:r>
        <w:rPr>
          <w:rFonts w:hint="eastAsia" w:ascii="宋体" w:hAnsi="宋体" w:cs="Times New Roman"/>
          <w:b w:val="0"/>
          <w:bCs w:val="0"/>
          <w:kern w:val="0"/>
          <w:sz w:val="28"/>
          <w:szCs w:val="28"/>
          <w:lang w:eastAsia="zh-CN"/>
        </w:rPr>
        <w:t>董小某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，</w:t>
      </w:r>
      <w:r>
        <w:rPr>
          <w:rFonts w:hint="eastAsia" w:ascii="宋体" w:hAnsi="宋体" w:cs="Times New Roman"/>
          <w:b w:val="0"/>
          <w:bCs w:val="0"/>
          <w:kern w:val="0"/>
          <w:sz w:val="28"/>
          <w:szCs w:val="28"/>
          <w:lang w:eastAsia="zh-CN"/>
        </w:rPr>
        <w:t>孩子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的抚养权由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8"/>
          <w:szCs w:val="28"/>
        </w:rPr>
        <w:t>答辩人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行使有利于其身心健康和将来的成长，请</w:t>
      </w:r>
      <w:r>
        <w:rPr>
          <w:rFonts w:hint="eastAsia" w:ascii="宋体" w:hAnsi="宋体" w:cs="Times New Roman"/>
          <w:b w:val="0"/>
          <w:bCs w:val="0"/>
          <w:kern w:val="0"/>
          <w:sz w:val="28"/>
          <w:szCs w:val="28"/>
          <w:lang w:eastAsia="zh-CN"/>
        </w:rPr>
        <w:t>人民法院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依法将</w:t>
      </w:r>
      <w:r>
        <w:rPr>
          <w:rFonts w:hint="eastAsia" w:ascii="宋体" w:hAnsi="宋体" w:cs="Times New Roman"/>
          <w:b w:val="0"/>
          <w:bCs w:val="0"/>
          <w:kern w:val="0"/>
          <w:sz w:val="28"/>
          <w:szCs w:val="28"/>
          <w:lang w:eastAsia="zh-CN"/>
        </w:rPr>
        <w:t>董小某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的抚养权判归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8"/>
          <w:szCs w:val="28"/>
        </w:rPr>
        <w:t>答辩人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行使。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150"/>
        <w:jc w:val="both"/>
        <w:textAlignment w:val="auto"/>
        <w:outlineLvl w:val="9"/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cs="Times New Roman"/>
          <w:b w:val="0"/>
          <w:bCs w:val="0"/>
          <w:kern w:val="0"/>
          <w:sz w:val="28"/>
          <w:szCs w:val="28"/>
          <w:lang w:eastAsia="zh-CN"/>
        </w:rPr>
        <w:t>答辩人的父母在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孩子的成长过程中，付出了巨大的心血，且与被答辩人的单亲家庭体系相比，答辩人的家庭更适合抚养教育董小某，孩子的抚养权应依法判归答辩人行使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自董小某出生后，答辩人父母考虑儿女年轻，经济条件一般，便出钱聘请月嫂保姆直至孩子3岁。孩子的奶奶在这三年中，每天早上7:30从太阳宫坐班车到望京照顾孩子。</w:t>
      </w:r>
      <w:r>
        <w:rPr>
          <w:rFonts w:hint="eastAsia"/>
          <w:b w:val="0"/>
          <w:bCs w:val="0"/>
          <w:sz w:val="28"/>
          <w:szCs w:val="28"/>
        </w:rPr>
        <w:t>该段时间</w:t>
      </w:r>
      <w:r>
        <w:rPr>
          <w:rFonts w:hint="eastAsia"/>
          <w:b w:val="0"/>
          <w:bCs w:val="0"/>
          <w:sz w:val="28"/>
          <w:szCs w:val="28"/>
          <w:lang w:eastAsia="zh-CN"/>
        </w:rPr>
        <w:t>内，答辩人父母</w:t>
      </w:r>
      <w:r>
        <w:rPr>
          <w:rFonts w:hint="eastAsia"/>
          <w:b w:val="0"/>
          <w:bCs w:val="0"/>
          <w:sz w:val="28"/>
          <w:szCs w:val="28"/>
        </w:rPr>
        <w:t>教会并见证了</w:t>
      </w:r>
      <w:r>
        <w:rPr>
          <w:rFonts w:hint="eastAsia"/>
          <w:b w:val="0"/>
          <w:bCs w:val="0"/>
          <w:sz w:val="28"/>
          <w:szCs w:val="28"/>
          <w:lang w:eastAsia="zh-CN"/>
        </w:rPr>
        <w:t>董小某</w:t>
      </w:r>
      <w:r>
        <w:rPr>
          <w:rFonts w:hint="eastAsia"/>
          <w:b w:val="0"/>
          <w:bCs w:val="0"/>
          <w:sz w:val="28"/>
          <w:szCs w:val="28"/>
        </w:rPr>
        <w:t>第一次张口说话和独立行走，</w:t>
      </w:r>
      <w:r>
        <w:rPr>
          <w:rFonts w:hint="eastAsia"/>
          <w:b w:val="0"/>
          <w:bCs w:val="0"/>
          <w:sz w:val="28"/>
          <w:szCs w:val="28"/>
          <w:lang w:eastAsia="zh-CN"/>
        </w:rPr>
        <w:t>并</w:t>
      </w:r>
      <w:r>
        <w:rPr>
          <w:rFonts w:hint="eastAsia"/>
          <w:b w:val="0"/>
          <w:bCs w:val="0"/>
          <w:sz w:val="28"/>
          <w:szCs w:val="28"/>
        </w:rPr>
        <w:t>着重培养</w:t>
      </w:r>
      <w:r>
        <w:rPr>
          <w:rFonts w:hint="eastAsia"/>
          <w:b w:val="0"/>
          <w:bCs w:val="0"/>
          <w:sz w:val="28"/>
          <w:szCs w:val="28"/>
          <w:lang w:eastAsia="zh-CN"/>
        </w:rPr>
        <w:t>了孩子</w:t>
      </w:r>
      <w:r>
        <w:rPr>
          <w:rFonts w:hint="eastAsia"/>
          <w:b w:val="0"/>
          <w:bCs w:val="0"/>
          <w:sz w:val="28"/>
          <w:szCs w:val="28"/>
        </w:rPr>
        <w:t>好学、诚实、讲礼貌的习惯，</w:t>
      </w:r>
      <w:r>
        <w:rPr>
          <w:rFonts w:hint="eastAsia"/>
          <w:b w:val="0"/>
          <w:bCs w:val="0"/>
          <w:sz w:val="28"/>
          <w:szCs w:val="28"/>
          <w:lang w:eastAsia="zh-CN"/>
        </w:rPr>
        <w:t>董小某</w:t>
      </w:r>
      <w:r>
        <w:rPr>
          <w:rFonts w:hint="eastAsia"/>
          <w:b w:val="0"/>
          <w:bCs w:val="0"/>
          <w:sz w:val="28"/>
          <w:szCs w:val="28"/>
        </w:rPr>
        <w:t>不满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岁时能够正确书写阿拉伯数字、熟背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一些简单的儿歌诗词等</w:t>
      </w:r>
      <w:r>
        <w:rPr>
          <w:rFonts w:hint="eastAsia"/>
          <w:b w:val="0"/>
          <w:bCs w:val="0"/>
          <w:sz w:val="28"/>
          <w:szCs w:val="28"/>
        </w:rPr>
        <w:t>、认识马路上</w:t>
      </w:r>
      <w:r>
        <w:rPr>
          <w:rFonts w:hint="eastAsia"/>
          <w:b w:val="0"/>
          <w:bCs w:val="0"/>
          <w:sz w:val="28"/>
          <w:szCs w:val="28"/>
          <w:lang w:eastAsia="zh-CN"/>
        </w:rPr>
        <w:t>大多数</w:t>
      </w:r>
      <w:r>
        <w:rPr>
          <w:rFonts w:hint="eastAsia"/>
          <w:b w:val="0"/>
          <w:bCs w:val="0"/>
          <w:sz w:val="28"/>
          <w:szCs w:val="28"/>
        </w:rPr>
        <w:t>汽车牌照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3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textAlignment w:val="auto"/>
        <w:outlineLvl w:val="9"/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  <w:t>董小某</w:t>
      </w:r>
      <w:r>
        <w:rPr>
          <w:rFonts w:hint="eastAsia" w:cs="Times New Roman"/>
          <w:b w:val="0"/>
          <w:bCs w:val="0"/>
          <w:kern w:val="0"/>
          <w:sz w:val="28"/>
          <w:szCs w:val="28"/>
          <w:lang w:val="en-US" w:eastAsia="zh-CN"/>
        </w:rPr>
        <w:t>3岁至今的吃、住、接送幼儿园、学前班都是答辩人父母负责，期间全部开销费用也是由答辩人父母支出，答辩人父母</w:t>
      </w:r>
      <w:r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  <w:t>在教育董小某上，付出了巨大的心血。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3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textAlignment w:val="auto"/>
        <w:outlineLvl w:val="9"/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  <w:t>反观被答辩人的家庭，被答辩人的母亲下岗几十年，经济条件有限。被答辩人在私企上班，工作压力大且不稳定，工作的性质需要经常加班、</w:t>
      </w:r>
      <w:r>
        <w:rPr>
          <w:rFonts w:hint="eastAsia" w:cs="Times New Roman"/>
          <w:b w:val="0"/>
          <w:bCs w:val="0"/>
          <w:kern w:val="0"/>
          <w:sz w:val="28"/>
          <w:szCs w:val="28"/>
          <w:lang w:val="en-US" w:eastAsia="zh-CN"/>
        </w:rPr>
        <w:t>出差</w:t>
      </w:r>
      <w:r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  <w:t>。被答辩人本身就成长于单亲家庭，由被答辩人抚养孩子，对孩子的身心健康及将来的成长不利。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3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textAlignment w:val="auto"/>
        <w:outlineLvl w:val="9"/>
        <w:rPr>
          <w:rFonts w:ascii="Calibri" w:hAnsi="Calibri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</w:rPr>
        <w:t>答辩人向法庭提交的《协助抚养子女声明书》，在《声明书》中答辩人父母明确表示他们有时间更有能力，且愿意和强烈要求照顾抚养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eastAsia="zh-CN"/>
        </w:rPr>
        <w:t>董小某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</w:rPr>
        <w:t>。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在开庭时，答辩人将依法向贵院申请父母作为证人出庭，以证明证人对董小某的抚养情况和将来协助答辩人抚养董小某意愿，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</w:rPr>
        <w:t>请</w:t>
      </w:r>
      <w:r>
        <w:rPr>
          <w:rFonts w:hint="eastAsia" w:ascii="宋体" w:hAnsi="宋体" w:cs="Times New Roman"/>
          <w:b w:val="0"/>
          <w:bCs w:val="0"/>
          <w:color w:val="000000"/>
          <w:sz w:val="28"/>
          <w:szCs w:val="28"/>
          <w:lang w:eastAsia="zh-CN"/>
        </w:rPr>
        <w:t>人民法院</w:t>
      </w:r>
      <w:r>
        <w:rPr>
          <w:rFonts w:hint="eastAsia" w:cs="Times New Roman"/>
          <w:b w:val="0"/>
          <w:bCs w:val="0"/>
          <w:color w:val="000000"/>
          <w:sz w:val="28"/>
          <w:szCs w:val="28"/>
          <w:lang w:val="en-US" w:eastAsia="zh-CN"/>
        </w:rPr>
        <w:t>综合考虑本案情况，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</w:rPr>
        <w:t>将孩子抚养权判归答辩人行使。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sz w:val="28"/>
          <w:szCs w:val="28"/>
          <w:lang w:val="en-US" w:eastAsia="zh-CN"/>
        </w:rPr>
        <w:t>(三）</w:t>
      </w:r>
      <w:r>
        <w:rPr>
          <w:rFonts w:hint="eastAsia" w:ascii="宋体" w:hAnsi="宋体" w:cs="Times New Roman"/>
          <w:b w:val="0"/>
          <w:bCs w:val="0"/>
          <w:color w:val="000000"/>
          <w:sz w:val="28"/>
          <w:szCs w:val="28"/>
          <w:lang w:eastAsia="zh-CN"/>
        </w:rPr>
        <w:t>根据答辩人向法庭提交的照片，能够证明答辩人及答辩人的父母，经常</w:t>
      </w:r>
      <w:r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  <w:t>带董小某出去游玩、辅导董小某学习、接送董小某上下学、给董小某过生日、经常陪伴董小某等情形，综合印证答辩人及其父母对董小某无微不至的关爱，与董小某建立了良好的感情，改变孩子的成长环境对孩子的成长不利，请人民法院将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孩子的抚养权依法判归</w:t>
      </w:r>
      <w:r>
        <w:rPr>
          <w:rFonts w:hint="eastAsia" w:cs="Times New Roman"/>
          <w:b w:val="0"/>
          <w:bCs w:val="0"/>
          <w:kern w:val="0"/>
          <w:sz w:val="28"/>
          <w:szCs w:val="28"/>
          <w:lang w:eastAsia="zh-CN"/>
        </w:rPr>
        <w:t>答辩人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行使。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Times New Roman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cs="Times New Roman"/>
          <w:b w:val="0"/>
          <w:bCs w:val="0"/>
          <w:color w:val="000000"/>
          <w:sz w:val="28"/>
          <w:szCs w:val="28"/>
          <w:lang w:eastAsia="zh-CN"/>
        </w:rPr>
        <w:t>（四）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</w:rPr>
        <w:t>根据答辩人提交的</w:t>
      </w:r>
      <w:r>
        <w:rPr>
          <w:rFonts w:hint="eastAsia" w:ascii="宋体" w:hAnsi="宋体" w:cs="Times New Roman"/>
          <w:b w:val="0"/>
          <w:bCs w:val="0"/>
          <w:color w:val="00000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</w:rPr>
        <w:t>出生医学证明</w:t>
      </w:r>
      <w:r>
        <w:rPr>
          <w:rFonts w:hint="eastAsia" w:ascii="宋体" w:hAnsi="宋体" w:cs="Times New Roman"/>
          <w:b w:val="0"/>
          <w:bCs w:val="0"/>
          <w:color w:val="00000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8"/>
          <w:szCs w:val="28"/>
        </w:rPr>
        <w:t>，能够证明</w:t>
      </w:r>
      <w:r>
        <w:rPr>
          <w:rFonts w:hint="eastAsia" w:ascii="宋体" w:hAnsi="宋体" w:cs="Times New Roman"/>
          <w:b w:val="0"/>
          <w:bCs w:val="0"/>
          <w:color w:val="000000"/>
          <w:sz w:val="28"/>
          <w:szCs w:val="28"/>
          <w:lang w:eastAsia="zh-CN"/>
        </w:rPr>
        <w:t>董小某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的性别、年龄等医学身份信息。</w:t>
      </w:r>
      <w:r>
        <w:rPr>
          <w:rFonts w:hint="eastAsia" w:ascii="宋体" w:hAnsi="宋体" w:cs="Times New Roman"/>
          <w:b w:val="0"/>
          <w:bCs w:val="0"/>
          <w:kern w:val="0"/>
          <w:sz w:val="28"/>
          <w:szCs w:val="28"/>
          <w:lang w:eastAsia="zh-CN"/>
        </w:rPr>
        <w:t>董小某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系男孩，由答辩人行使孩子的抚养权，容易使孩子形成“性别认同”，故，答辩人</w:t>
      </w:r>
      <w:r>
        <w:rPr>
          <w:rFonts w:hint="eastAsia" w:ascii="宋体" w:hAnsi="宋体" w:cs="Times New Roman"/>
          <w:b w:val="0"/>
          <w:bCs w:val="0"/>
          <w:kern w:val="0"/>
          <w:sz w:val="28"/>
          <w:szCs w:val="28"/>
          <w:lang w:eastAsia="zh-CN"/>
        </w:rPr>
        <w:t>请求人民法院依法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判决由答辩人行使</w:t>
      </w:r>
      <w:r>
        <w:rPr>
          <w:rFonts w:hint="eastAsia" w:ascii="宋体" w:hAnsi="宋体" w:cs="Times New Roman"/>
          <w:b w:val="0"/>
          <w:bCs w:val="0"/>
          <w:kern w:val="0"/>
          <w:sz w:val="28"/>
          <w:szCs w:val="28"/>
          <w:lang w:val="en-US" w:eastAsia="zh-CN"/>
        </w:rPr>
        <w:t>董小某</w:t>
      </w:r>
      <w:r>
        <w:rPr>
          <w:rFonts w:hint="eastAsia" w:ascii="宋体" w:hAnsi="宋体" w:eastAsia="宋体" w:cs="Times New Roman"/>
          <w:b w:val="0"/>
          <w:bCs w:val="0"/>
          <w:kern w:val="0"/>
          <w:sz w:val="28"/>
          <w:szCs w:val="28"/>
        </w:rPr>
        <w:t>的抚养权。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ˎ̥" w:hAnsi="ˎ̥"/>
          <w:b w:val="0"/>
          <w:bCs w:val="0"/>
          <w:kern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董小某系</w:t>
      </w:r>
      <w:r>
        <w:rPr>
          <w:rFonts w:hint="eastAsia" w:ascii="Times New Roman" w:hAnsi="Times New Roman"/>
          <w:b w:val="0"/>
          <w:bCs w:val="0"/>
          <w:kern w:val="0"/>
          <w:sz w:val="28"/>
          <w:szCs w:val="28"/>
        </w:rPr>
        <w:t>男孩，</w:t>
      </w:r>
      <w:r>
        <w:rPr>
          <w:rFonts w:hint="eastAsia" w:ascii="Times New Roman" w:hAnsi="Times New Roman"/>
          <w:b w:val="0"/>
          <w:bCs w:val="0"/>
          <w:kern w:val="0"/>
          <w:sz w:val="28"/>
          <w:szCs w:val="28"/>
          <w:lang w:eastAsia="zh-CN"/>
        </w:rPr>
        <w:t>根据</w:t>
      </w:r>
      <w:r>
        <w:rPr>
          <w:rFonts w:hint="eastAsia" w:ascii="ˎ̥" w:hAnsi="ˎ̥"/>
          <w:b w:val="0"/>
          <w:bCs w:val="0"/>
          <w:kern w:val="0"/>
          <w:sz w:val="28"/>
          <w:szCs w:val="28"/>
        </w:rPr>
        <w:t>国内外的心理学研究表明，如果由单身母亲抚养男孩，容易使孩子形成“男孩女性化”的</w:t>
      </w:r>
      <w:r>
        <w:rPr>
          <w:rFonts w:hint="eastAsia" w:ascii="ˎ̥" w:hAnsi="ˎ̥"/>
          <w:b w:val="0"/>
          <w:bCs w:val="0"/>
          <w:kern w:val="0"/>
          <w:sz w:val="28"/>
          <w:szCs w:val="28"/>
          <w:lang w:eastAsia="zh-CN"/>
        </w:rPr>
        <w:t>性格</w:t>
      </w:r>
      <w:r>
        <w:rPr>
          <w:rFonts w:hint="eastAsia" w:ascii="ˎ̥" w:hAnsi="ˎ̥"/>
          <w:b w:val="0"/>
          <w:bCs w:val="0"/>
          <w:kern w:val="0"/>
          <w:sz w:val="28"/>
          <w:szCs w:val="28"/>
        </w:rPr>
        <w:t>特征，对其心理健康非常不利。如果由答辩人抚养，</w:t>
      </w:r>
      <w:r>
        <w:rPr>
          <w:rFonts w:hint="eastAsia" w:ascii="ˎ̥" w:hAnsi="ˎ̥"/>
          <w:b w:val="0"/>
          <w:bCs w:val="0"/>
          <w:kern w:val="0"/>
          <w:sz w:val="28"/>
          <w:szCs w:val="28"/>
          <w:lang w:eastAsia="zh-CN"/>
        </w:rPr>
        <w:t>能较好的</w:t>
      </w:r>
      <w:r>
        <w:rPr>
          <w:rFonts w:hint="eastAsia" w:ascii="ˎ̥" w:hAnsi="ˎ̥"/>
          <w:b w:val="0"/>
          <w:bCs w:val="0"/>
          <w:kern w:val="0"/>
          <w:sz w:val="28"/>
          <w:szCs w:val="28"/>
        </w:rPr>
        <w:t>使孩子形成性别认同，培养其乐观、坚强、豁达等性格特点，由答辩人抚养孩子对其身心健康比较有利，孩子的抚养权应依法由答辩人行使。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ˎ̥" w:hAnsi="ˎ̥"/>
          <w:b w:val="0"/>
          <w:bCs w:val="0"/>
          <w:kern w:val="0"/>
          <w:sz w:val="28"/>
          <w:szCs w:val="28"/>
        </w:rPr>
      </w:pPr>
      <w:r>
        <w:rPr>
          <w:rFonts w:hint="eastAsia" w:cs="Times New Roman"/>
          <w:b w:val="0"/>
          <w:bCs w:val="0"/>
          <w:kern w:val="0"/>
          <w:sz w:val="28"/>
          <w:szCs w:val="28"/>
          <w:lang w:val="en-US" w:eastAsia="zh-CN"/>
        </w:rPr>
        <w:t>（五）在婚姻关系存续期间，被答辩人对答辩人经常有辱骂和殴打行为，证明其性格并不温和，不适合抚养教育孩子，孩子的抚养权应依法判归答辩人行使。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2.2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抚养费的具体数额，请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人民法院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结合</w:t>
      </w:r>
      <w:r>
        <w:rPr>
          <w:rFonts w:ascii="宋体" w:hAnsi="宋体"/>
          <w:b/>
          <w:bCs/>
          <w:color w:val="000000"/>
          <w:sz w:val="28"/>
          <w:szCs w:val="28"/>
        </w:rPr>
        <w:t>子女的实际需要、父母双方的负担能力和当地的实际生活水平确定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。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答辩人暂时主张被答辩人每月支付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3000元的抚养费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至</w:t>
      </w:r>
      <w:r>
        <w:rPr>
          <w:rFonts w:hint="eastAsia"/>
          <w:b/>
          <w:bCs/>
          <w:sz w:val="28"/>
          <w:szCs w:val="28"/>
          <w:lang w:eastAsia="zh-CN"/>
        </w:rPr>
        <w:t>董小某</w:t>
      </w: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zh-CN"/>
        </w:rPr>
        <w:t>年满十八周岁。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在婚姻关系存续期间，</w:t>
      </w:r>
      <w:r>
        <w:rPr>
          <w:rFonts w:hint="eastAsia"/>
          <w:b/>
          <w:bCs/>
          <w:sz w:val="28"/>
          <w:szCs w:val="28"/>
          <w:lang w:val="en-US" w:eastAsia="zh-CN"/>
        </w:rPr>
        <w:t>为购买座落于北京市朝阳区某某宫一街X号院X号楼X单元X号房屋（下简称：涉案房屋），答辩人、被答辩人向答辩人父母借款3836027.15元，该借款应属于夫妻共同债务，应由双方共同承担。在此基础上，</w:t>
      </w:r>
      <w:r>
        <w:rPr>
          <w:rFonts w:hint="eastAsia" w:ascii="宋体" w:hAnsi="宋体" w:cs="宋体"/>
          <w:b/>
          <w:bCs/>
          <w:sz w:val="28"/>
          <w:szCs w:val="28"/>
        </w:rPr>
        <w:t>答辩人同意分割夫妻共同财产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根据答辩人向法庭提交的银行交易流水及证据八的其他证据，能够证明为购买涉案房屋，答辩人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父母共支付款项3836027.15元，因涉案房屋属于夫妻共同财产，该债务应属于夫妻共同债务。</w:t>
      </w:r>
      <w:r>
        <w:rPr>
          <w:rFonts w:hint="eastAsia"/>
          <w:sz w:val="28"/>
          <w:szCs w:val="28"/>
          <w:lang w:val="en-US" w:eastAsia="zh-CN"/>
        </w:rPr>
        <w:t>微信聊天记录能够证明被答辩人认可房产属于夫妻共同财产，能够推测出该债务被答辩人同意按照一人一半的原则偿还。《民事判决书》证明在2012年被答辩人作为原告，曾经向北京市XX区人民法院起诉离婚，被法院依法驳回其诉讼请求。因被答辩人与答辩人之间婚姻关系的巨大不稳定性，答辩人的父母不可能赠与双方款项用来购买房屋，被答辩人在第一次开庭时，将借款辩解为答辩人父母赠与给双方的款项，属于机械的引用最高人民法院关于适用《中华人民共和国民法典》婚姻家庭编的解释（一）第二十九条的规定，该辩解明显牵强附会，依法不能成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在共同承担夫妻共同债务的基础上，答辩人同意依法分割夫妻共同财产。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both"/>
        <w:textAlignment w:val="auto"/>
        <w:outlineLvl w:val="9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四、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答辩人不存在我国《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民法典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》第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一千零九十一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条所规定的任何一种情形，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被答辩人要求答辩人给付精神损害赔偿金5万元，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无事实和法律依据，请法院依法予以驳回。在婚姻关系存续期间，被答辩人有对答辩人进行辱骂和殴打的家庭暴力行为，其应向答辩人支付精神损害抚慰金五万元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??" w:hAnsi="??"/>
          <w:b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被答辩人在《起诉状》中陈述“被告不但与其他异性有不正当关系，还曾多次殴打原告”与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本案的真实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情况不符。答辩人并不存在与其他异性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有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不正当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的两性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关系及多次殴打被答辩人的行为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相反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被答辩人在平时生活中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经常对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答辩人进行辱骂，并殴打答辩人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。就此事实，答辩人向法庭提交了相应的视听资料，请法院依法支持答辩人的该项诉求。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jc w:val="both"/>
        <w:textAlignment w:val="auto"/>
        <w:outlineLvl w:val="9"/>
        <w:rPr>
          <w:rFonts w:ascii="??" w:hAnsi="??"/>
          <w:b/>
          <w:color w:val="000000"/>
          <w:sz w:val="28"/>
          <w:szCs w:val="28"/>
        </w:rPr>
      </w:pPr>
      <w:r>
        <w:rPr>
          <w:rFonts w:hint="eastAsia" w:ascii="??" w:hAnsi="??"/>
          <w:b/>
          <w:color w:val="000000"/>
          <w:sz w:val="28"/>
          <w:szCs w:val="28"/>
        </w:rPr>
        <w:t>综上所述，答辩人、被答辩人之间的感情确已破裂，无任何和好的可能性，现双方均同意离婚，请法院依据查明的事实和证据，依法判决解除双方之间的婚姻关系，并按照答辩人的请求处理子女抚养</w:t>
      </w:r>
      <w:r>
        <w:rPr>
          <w:rFonts w:hint="eastAsia" w:ascii="??" w:hAnsi="??"/>
          <w:b/>
          <w:color w:val="000000"/>
          <w:sz w:val="28"/>
          <w:szCs w:val="28"/>
          <w:lang w:eastAsia="zh-CN"/>
        </w:rPr>
        <w:t>、债务承担、财产分割等</w:t>
      </w:r>
      <w:r>
        <w:rPr>
          <w:rFonts w:hint="eastAsia" w:ascii="??" w:hAnsi="??"/>
          <w:b/>
          <w:color w:val="000000"/>
          <w:sz w:val="28"/>
          <w:szCs w:val="28"/>
        </w:rPr>
        <w:t>问题。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70"/>
        <w:jc w:val="both"/>
        <w:textAlignment w:val="auto"/>
        <w:outlineLvl w:val="9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北京市朝阳区人民法院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答辩人：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TC-65b96b6369774f53* + times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TC-65b96b6369774f53* 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C1DD2"/>
    <w:multiLevelType w:val="singleLevel"/>
    <w:tmpl w:val="5A0C1DD2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A0C2711"/>
    <w:multiLevelType w:val="singleLevel"/>
    <w:tmpl w:val="5A0C2711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C11B6"/>
    <w:rsid w:val="19312329"/>
    <w:rsid w:val="3B2A4D4F"/>
    <w:rsid w:val="474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落款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349" w:beforeAutospacing="0" w:after="0" w:afterAutospacing="0" w:line="364" w:lineRule="atLeast"/>
      <w:ind w:left="0" w:right="420" w:firstLine="420"/>
      <w:jc w:val="both"/>
    </w:pPr>
    <w:rPr>
      <w:rFonts w:hint="eastAsia" w:ascii="ATC-65b96b6369774f53* + times" w:hAnsi="Times New Roman" w:eastAsia="ATC-65b96b6369774f53* + times" w:cs="ATC-65b96b6369774f53* times"/>
      <w:color w:val="000000"/>
      <w:kern w:val="0"/>
      <w:sz w:val="21"/>
      <w:szCs w:val="21"/>
      <w:lang w:val="en-US" w:eastAsia="zh-CN" w:bidi="ar"/>
    </w:rPr>
  </w:style>
  <w:style w:type="paragraph" w:customStyle="1" w:styleId="6">
    <w:name w:val="BT9（一）第三编内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4" w:lineRule="atLeast"/>
      <w:ind w:left="0" w:right="0" w:firstLine="420"/>
      <w:jc w:val="both"/>
    </w:pPr>
    <w:rPr>
      <w:rFonts w:hint="eastAsia" w:ascii="方正楷体_GBK" w:hAnsi="Times New Roman" w:eastAsia="方正楷体_GBK" w:cs="方正楷体_GBK"/>
      <w:color w:val="000000"/>
      <w:kern w:val="0"/>
      <w:sz w:val="23"/>
      <w:szCs w:val="23"/>
      <w:lang w:val="en-US" w:eastAsia="zh-CN" w:bidi="ar"/>
    </w:rPr>
  </w:style>
  <w:style w:type="character" w:customStyle="1" w:styleId="7">
    <w:name w:val="黑体"/>
    <w:basedOn w:val="4"/>
    <w:uiPriority w:val="0"/>
    <w:rPr>
      <w:rFonts w:hint="eastAsia" w:ascii="方正黑体_GBK" w:hAnsi="方正黑体_GBK" w:eastAsia="方正黑体_GBK" w:cs="方正黑体_GBK"/>
      <w:color w:val="000000"/>
    </w:rPr>
  </w:style>
  <w:style w:type="paragraph" w:customStyle="1" w:styleId="8">
    <w:name w:val="BT10（××协议书）第三编内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174" w:beforeAutospacing="0" w:after="174" w:afterAutospacing="0" w:line="364" w:lineRule="atLeast"/>
      <w:ind w:left="0" w:right="0"/>
      <w:jc w:val="both"/>
    </w:pPr>
    <w:rPr>
      <w:rFonts w:hint="eastAsia" w:ascii="方正黑体_GBK" w:hAnsi="Times New Roman" w:eastAsia="方正黑体_GBK" w:cs="方正黑体_GBK"/>
      <w:color w:val="000000"/>
      <w:kern w:val="0"/>
      <w:sz w:val="24"/>
      <w:szCs w:val="24"/>
      <w:lang w:val="en-US" w:eastAsia="zh-CN" w:bidi="ar"/>
    </w:rPr>
  </w:style>
  <w:style w:type="paragraph" w:customStyle="1" w:styleId="9">
    <w:name w:val="正文黑体（第三编内）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4" w:lineRule="atLeast"/>
      <w:ind w:left="0" w:right="0" w:firstLine="420"/>
      <w:jc w:val="both"/>
    </w:pPr>
    <w:rPr>
      <w:rFonts w:hint="eastAsia" w:ascii="方正黑体_GBK" w:hAnsi="Times New Roman" w:eastAsia="方正黑体_GBK" w:cs="方正黑体_GBK"/>
      <w:color w:val="000000"/>
      <w:kern w:val="0"/>
      <w:sz w:val="21"/>
      <w:szCs w:val="21"/>
      <w:lang w:val="en-US" w:eastAsia="zh-CN" w:bidi="ar"/>
    </w:rPr>
  </w:style>
  <w:style w:type="character" w:customStyle="1" w:styleId="10">
    <w:name w:val="any"/>
    <w:basedOn w:val="4"/>
    <w:qFormat/>
    <w:uiPriority w:val="0"/>
  </w:style>
  <w:style w:type="paragraph" w:customStyle="1" w:styleId="11">
    <w:name w:val="faguicon_p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8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customStyle="1" w:styleId="12">
    <w:name w:val="sect2title"/>
    <w:basedOn w:val="4"/>
    <w:qFormat/>
    <w:uiPriority w:val="0"/>
    <w:rPr>
      <w:rFonts w:hint="eastAsia" w:ascii="微软雅黑" w:hAnsi="微软雅黑" w:eastAsia="微软雅黑" w:cs="微软雅黑"/>
      <w:b/>
      <w:bCs/>
      <w:sz w:val="26"/>
      <w:szCs w:val="26"/>
    </w:rPr>
  </w:style>
  <w:style w:type="paragraph" w:customStyle="1" w:styleId="13">
    <w:name w:val="列出段落1"/>
    <w:basedOn w:val="1"/>
    <w:semiHidden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2021-05-08T08:36:00Z</dcterms:created>
  <dc:creator>86156</dc:creator>
  <cp:lastModifiedBy>Administrator</cp:lastModifiedBy>
  <dcterms:modified xsi:type="dcterms:W3CDTF">2021-05-19T10:50:19Z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DC7FA4D221AB4239ACEF7311E2E19C89</vt:lpwstr>
  </property>
</Properties>
</file>